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экономики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«Государственное регулирование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43.7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«Государственное регулирование экономики»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Исполнение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ОПК-4, УК-11,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pPr>
              <w:jc w:val="both"/>
              <w:spacing w:after="0" w:line="240" w:lineRule="auto"/>
              <w:rPr>
                <w:sz w:val="24"/>
                <w:szCs w:val="24"/>
              </w:rPr>
            </w:pPr>
            <w:r>
              <w:rPr>
                <w:rFonts w:ascii="Times New Roman" w:hAnsi="Times New Roman" w:cs="Times New Roman"/>
                <w:color w:val="#000000"/>
                <w:sz w:val="24"/>
                <w:szCs w:val="24"/>
              </w:rPr>
              <w:t> 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340.9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социально-экономической ситуации, сложившейся в стране, от фазы циклического развития национальной экономики.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7333.0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pPr>
              <w:jc w:val="both"/>
              <w:spacing w:after="0" w:line="240" w:lineRule="auto"/>
              <w:rPr>
                <w:sz w:val="24"/>
                <w:szCs w:val="24"/>
              </w:rPr>
            </w:pPr>
            <w:r>
              <w:rPr>
                <w:rFonts w:ascii="Times New Roman" w:hAnsi="Times New Roman" w:cs="Times New Roman"/>
                <w:color w:val="#000000"/>
                <w:sz w:val="24"/>
                <w:szCs w:val="24"/>
              </w:rPr>
              <w:t> 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pPr>
              <w:jc w:val="both"/>
              <w:spacing w:after="0" w:line="240" w:lineRule="auto"/>
              <w:rPr>
                <w:sz w:val="24"/>
                <w:szCs w:val="24"/>
              </w:rPr>
            </w:pPr>
            <w:r>
              <w:rPr>
                <w:rFonts w:ascii="Times New Roman" w:hAnsi="Times New Roman" w:cs="Times New Roman"/>
                <w:color w:val="#000000"/>
                <w:sz w:val="24"/>
                <w:szCs w:val="24"/>
              </w:rPr>
              <w:t> 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pPr>
              <w:jc w:val="both"/>
              <w:spacing w:after="0" w:line="240" w:lineRule="auto"/>
              <w:rPr>
                <w:sz w:val="24"/>
                <w:szCs w:val="24"/>
              </w:rPr>
            </w:pPr>
            <w:r>
              <w:rPr>
                <w:rFonts w:ascii="Times New Roman" w:hAnsi="Times New Roman" w:cs="Times New Roman"/>
                <w:color w:val="#000000"/>
                <w:sz w:val="24"/>
                <w:szCs w:val="24"/>
              </w:rPr>
              <w:t> Причины неравенства в распределении доходов населения. Понятие «бедности».</w:t>
            </w:r>
          </w:p>
          <w:p>
            <w:pPr>
              <w:jc w:val="both"/>
              <w:spacing w:after="0" w:line="240" w:lineRule="auto"/>
              <w:rPr>
                <w:sz w:val="24"/>
                <w:szCs w:val="24"/>
              </w:rPr>
            </w:pPr>
            <w:r>
              <w:rPr>
                <w:rFonts w:ascii="Times New Roman" w:hAnsi="Times New Roman" w:cs="Times New Roman"/>
                <w:color w:val="#000000"/>
                <w:sz w:val="24"/>
                <w:szCs w:val="24"/>
              </w:rPr>
              <w:t> 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цели и инструменты государственного регулирования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функции государства.</w:t>
            </w:r>
          </w:p>
          <w:p>
            <w:pPr>
              <w:jc w:val="both"/>
              <w:spacing w:after="0" w:line="240" w:lineRule="auto"/>
              <w:rPr>
                <w:sz w:val="24"/>
                <w:szCs w:val="24"/>
              </w:rPr>
            </w:pPr>
            <w:r>
              <w:rPr>
                <w:rFonts w:ascii="Times New Roman" w:hAnsi="Times New Roman" w:cs="Times New Roman"/>
                <w:color w:val="#000000"/>
                <w:sz w:val="24"/>
                <w:szCs w:val="24"/>
              </w:rPr>
              <w:t> 2. Фиаско государства.</w:t>
            </w:r>
          </w:p>
          <w:p>
            <w:pPr>
              <w:jc w:val="both"/>
              <w:spacing w:after="0" w:line="240" w:lineRule="auto"/>
              <w:rPr>
                <w:sz w:val="24"/>
                <w:szCs w:val="24"/>
              </w:rPr>
            </w:pPr>
            <w:r>
              <w:rPr>
                <w:rFonts w:ascii="Times New Roman" w:hAnsi="Times New Roman" w:cs="Times New Roman"/>
                <w:color w:val="#000000"/>
                <w:sz w:val="24"/>
                <w:szCs w:val="24"/>
              </w:rPr>
              <w:t> 3. Границы вмешательства государства в рыночную экономику.</w:t>
            </w:r>
          </w:p>
          <w:p>
            <w:pPr>
              <w:jc w:val="both"/>
              <w:spacing w:after="0" w:line="240" w:lineRule="auto"/>
              <w:rPr>
                <w:sz w:val="24"/>
                <w:szCs w:val="24"/>
              </w:rPr>
            </w:pPr>
            <w:r>
              <w:rPr>
                <w:rFonts w:ascii="Times New Roman" w:hAnsi="Times New Roman" w:cs="Times New Roman"/>
                <w:color w:val="#000000"/>
                <w:sz w:val="24"/>
                <w:szCs w:val="24"/>
              </w:rPr>
              <w:t> 4. Цели 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Структура механизма государственного регулирования. Ресурсы, объекты и формы</w:t>
            </w:r>
          </w:p>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Концепции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Методы и инструменты государственного регулирования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Модели государственного регулирования экономики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pPr>
              <w:jc w:val="both"/>
              <w:spacing w:after="0" w:line="240" w:lineRule="auto"/>
              <w:rPr>
                <w:sz w:val="24"/>
                <w:szCs w:val="24"/>
              </w:rPr>
            </w:pPr>
            <w:r>
              <w:rPr>
                <w:rFonts w:ascii="Times New Roman" w:hAnsi="Times New Roman" w:cs="Times New Roman"/>
                <w:color w:val="#000000"/>
                <w:sz w:val="24"/>
                <w:szCs w:val="24"/>
              </w:rPr>
              <w:t> 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Общественное благо. Необходимость и пределы  государственного регулирования рынка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Денежно-кредитные регуляторы экономики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и инструменты воздействия Центрального банка на спрос и предложение денег в экономике.</w:t>
            </w:r>
          </w:p>
          <w:p>
            <w:pPr>
              <w:jc w:val="both"/>
              <w:spacing w:after="0" w:line="240" w:lineRule="auto"/>
              <w:rPr>
                <w:sz w:val="24"/>
                <w:szCs w:val="24"/>
              </w:rPr>
            </w:pPr>
            <w:r>
              <w:rPr>
                <w:rFonts w:ascii="Times New Roman" w:hAnsi="Times New Roman" w:cs="Times New Roman"/>
                <w:color w:val="#000000"/>
                <w:sz w:val="24"/>
                <w:szCs w:val="24"/>
              </w:rPr>
              <w:t> 2. Регулирование деятельности коммерческих банков.</w:t>
            </w:r>
          </w:p>
          <w:p>
            <w:pPr>
              <w:jc w:val="both"/>
              <w:spacing w:after="0" w:line="240" w:lineRule="auto"/>
              <w:rPr>
                <w:sz w:val="24"/>
                <w:szCs w:val="24"/>
              </w:rPr>
            </w:pPr>
            <w:r>
              <w:rPr>
                <w:rFonts w:ascii="Times New Roman" w:hAnsi="Times New Roman" w:cs="Times New Roman"/>
                <w:color w:val="#000000"/>
                <w:sz w:val="24"/>
                <w:szCs w:val="24"/>
              </w:rPr>
              <w:t> 3. Методы регулирования валютного курса.</w:t>
            </w:r>
          </w:p>
          <w:p>
            <w:pPr>
              <w:jc w:val="both"/>
              <w:spacing w:after="0" w:line="240" w:lineRule="auto"/>
              <w:rPr>
                <w:sz w:val="24"/>
                <w:szCs w:val="24"/>
              </w:rPr>
            </w:pPr>
            <w:r>
              <w:rPr>
                <w:rFonts w:ascii="Times New Roman" w:hAnsi="Times New Roman" w:cs="Times New Roman"/>
                <w:color w:val="#000000"/>
                <w:sz w:val="24"/>
                <w:szCs w:val="24"/>
              </w:rPr>
              <w:t> 4. Денежно-кредитная политика как инструмент государственного регулирования экономики. Основные цели и инструменты кредитно-денежной политики.</w:t>
            </w:r>
          </w:p>
          <w:p>
            <w:pPr>
              <w:jc w:val="both"/>
              <w:spacing w:after="0" w:line="240" w:lineRule="auto"/>
              <w:rPr>
                <w:sz w:val="24"/>
                <w:szCs w:val="24"/>
              </w:rPr>
            </w:pPr>
            <w:r>
              <w:rPr>
                <w:rFonts w:ascii="Times New Roman" w:hAnsi="Times New Roman" w:cs="Times New Roman"/>
                <w:color w:val="#000000"/>
                <w:sz w:val="24"/>
                <w:szCs w:val="24"/>
              </w:rPr>
              <w:t> 5. Дискреционная (гибкая) кредитно-денежная политика: стимулирующая и сдерживающая.</w:t>
            </w:r>
          </w:p>
          <w:p>
            <w:pPr>
              <w:jc w:val="both"/>
              <w:spacing w:after="0" w:line="240" w:lineRule="auto"/>
              <w:rPr>
                <w:sz w:val="24"/>
                <w:szCs w:val="24"/>
              </w:rPr>
            </w:pPr>
            <w:r>
              <w:rPr>
                <w:rFonts w:ascii="Times New Roman" w:hAnsi="Times New Roman" w:cs="Times New Roman"/>
                <w:color w:val="#000000"/>
                <w:sz w:val="24"/>
                <w:szCs w:val="24"/>
              </w:rPr>
              <w:t> 6. Кредитно-денежная политика «по правилам». Монетарное правило. Макропруденциальное регулирование.</w:t>
            </w:r>
          </w:p>
          <w:p>
            <w:pPr>
              <w:jc w:val="both"/>
              <w:spacing w:after="0" w:line="240" w:lineRule="auto"/>
              <w:rPr>
                <w:sz w:val="24"/>
                <w:szCs w:val="24"/>
              </w:rPr>
            </w:pPr>
            <w:r>
              <w:rPr>
                <w:rFonts w:ascii="Times New Roman" w:hAnsi="Times New Roman" w:cs="Times New Roman"/>
                <w:color w:val="#000000"/>
                <w:sz w:val="24"/>
                <w:szCs w:val="24"/>
              </w:rPr>
              <w:t> 7. Антиинфляционное регулирование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методы и инструменты государственного регулирования экономики в сфере финансов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Налогово-бюджетное регулирование экономики. Налоги и государственные расходы как механизм макроэкономического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2.Государственный бюджет и его структура. Налогово-бюджетный федерализм.</w:t>
            </w:r>
          </w:p>
          <w:p>
            <w:pPr>
              <w:jc w:val="both"/>
              <w:spacing w:after="0" w:line="240" w:lineRule="auto"/>
              <w:rPr>
                <w:sz w:val="24"/>
                <w:szCs w:val="24"/>
              </w:rPr>
            </w:pPr>
            <w:r>
              <w:rPr>
                <w:rFonts w:ascii="Times New Roman" w:hAnsi="Times New Roman" w:cs="Times New Roman"/>
                <w:color w:val="#000000"/>
                <w:sz w:val="24"/>
                <w:szCs w:val="24"/>
              </w:rPr>
              <w:t> 3.Бюджетный дефицит. Способы финансирования бюджетного дефицита и их последствия: эффект вытеснения и монетизация государственного долга.</w:t>
            </w:r>
          </w:p>
          <w:p>
            <w:pPr>
              <w:jc w:val="both"/>
              <w:spacing w:after="0" w:line="240" w:lineRule="auto"/>
              <w:rPr>
                <w:sz w:val="24"/>
                <w:szCs w:val="24"/>
              </w:rPr>
            </w:pPr>
            <w:r>
              <w:rPr>
                <w:rFonts w:ascii="Times New Roman" w:hAnsi="Times New Roman" w:cs="Times New Roman"/>
                <w:color w:val="#000000"/>
                <w:sz w:val="24"/>
                <w:szCs w:val="24"/>
              </w:rPr>
              <w:t> 4.Дискреционная стимулирующая и сдерживающая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Налоговый мультипликатор. Недискреционная налогово-бюджетная политика.</w:t>
            </w:r>
          </w:p>
          <w:p>
            <w:pPr>
              <w:jc w:val="both"/>
              <w:spacing w:after="0" w:line="240" w:lineRule="auto"/>
              <w:rPr>
                <w:sz w:val="24"/>
                <w:szCs w:val="24"/>
              </w:rPr>
            </w:pPr>
            <w:r>
              <w:rPr>
                <w:rFonts w:ascii="Times New Roman" w:hAnsi="Times New Roman" w:cs="Times New Roman"/>
                <w:color w:val="#000000"/>
                <w:sz w:val="24"/>
                <w:szCs w:val="24"/>
              </w:rPr>
              <w:t> Автоматические, или “встроенные стабилизаторы” экономики.</w:t>
            </w:r>
          </w:p>
          <w:p>
            <w:pPr>
              <w:jc w:val="both"/>
              <w:spacing w:after="0" w:line="240" w:lineRule="auto"/>
              <w:rPr>
                <w:sz w:val="24"/>
                <w:szCs w:val="24"/>
              </w:rPr>
            </w:pPr>
            <w:r>
              <w:rPr>
                <w:rFonts w:ascii="Times New Roman" w:hAnsi="Times New Roman" w:cs="Times New Roman"/>
                <w:color w:val="#000000"/>
                <w:sz w:val="24"/>
                <w:szCs w:val="24"/>
              </w:rPr>
              <w:t> 5. Проблема балансирования государственного бюджета. Стабилизационный фонд</w:t>
            </w:r>
          </w:p>
          <w:p>
            <w:pPr>
              <w:jc w:val="both"/>
              <w:spacing w:after="0" w:line="240" w:lineRule="auto"/>
              <w:rPr>
                <w:sz w:val="24"/>
                <w:szCs w:val="24"/>
              </w:rPr>
            </w:pPr>
            <w:r>
              <w:rPr>
                <w:rFonts w:ascii="Times New Roman" w:hAnsi="Times New Roman" w:cs="Times New Roman"/>
                <w:color w:val="#000000"/>
                <w:sz w:val="24"/>
                <w:szCs w:val="24"/>
              </w:rPr>
              <w:t> (ФНБ) и его макроэкономическое значение (Россия и зарубежные страны).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Структурная и инвестиционная политика государства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цель и значение государственной структурной политики. Сущность и направления структурной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pPr>
              <w:jc w:val="both"/>
              <w:spacing w:after="0" w:line="240" w:lineRule="auto"/>
              <w:rPr>
                <w:sz w:val="24"/>
                <w:szCs w:val="24"/>
              </w:rPr>
            </w:pPr>
            <w:r>
              <w:rPr>
                <w:rFonts w:ascii="Times New Roman" w:hAnsi="Times New Roman" w:cs="Times New Roman"/>
                <w:color w:val="#000000"/>
                <w:sz w:val="24"/>
                <w:szCs w:val="24"/>
              </w:rPr>
              <w:t> 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4. Инвестиционная политика и механизм её реализации. Модели инвестиционной политики в различных странах.</w:t>
            </w:r>
          </w:p>
          <w:p>
            <w:pPr>
              <w:jc w:val="both"/>
              <w:spacing w:after="0" w:line="240" w:lineRule="auto"/>
              <w:rPr>
                <w:sz w:val="24"/>
                <w:szCs w:val="24"/>
              </w:rPr>
            </w:pPr>
            <w:r>
              <w:rPr>
                <w:rFonts w:ascii="Times New Roman" w:hAnsi="Times New Roman" w:cs="Times New Roman"/>
                <w:color w:val="#000000"/>
                <w:sz w:val="24"/>
                <w:szCs w:val="24"/>
              </w:rPr>
              <w:t> 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pPr>
              <w:jc w:val="both"/>
              <w:spacing w:after="0" w:line="240" w:lineRule="auto"/>
              <w:rPr>
                <w:sz w:val="24"/>
                <w:szCs w:val="24"/>
              </w:rPr>
            </w:pPr>
            <w:r>
              <w:rPr>
                <w:rFonts w:ascii="Times New Roman" w:hAnsi="Times New Roman" w:cs="Times New Roman"/>
                <w:color w:val="#000000"/>
                <w:sz w:val="24"/>
                <w:szCs w:val="24"/>
              </w:rPr>
              <w:t> регионов в условиях российской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Общественное благосостояние и социальный контракт в рыночной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pPr>
              <w:jc w:val="both"/>
              <w:spacing w:after="0" w:line="240" w:lineRule="auto"/>
              <w:rPr>
                <w:sz w:val="24"/>
                <w:szCs w:val="24"/>
              </w:rPr>
            </w:pPr>
            <w:r>
              <w:rPr>
                <w:rFonts w:ascii="Times New Roman" w:hAnsi="Times New Roman" w:cs="Times New Roman"/>
                <w:color w:val="#000000"/>
                <w:sz w:val="24"/>
                <w:szCs w:val="24"/>
              </w:rPr>
              <w:t> 2. Неравенство в распределение доходов населения и его причины. Измерение неравенства в распределении доходов.</w:t>
            </w:r>
          </w:p>
          <w:p>
            <w:pPr>
              <w:jc w:val="both"/>
              <w:spacing w:after="0" w:line="240" w:lineRule="auto"/>
              <w:rPr>
                <w:sz w:val="24"/>
                <w:szCs w:val="24"/>
              </w:rPr>
            </w:pPr>
            <w:r>
              <w:rPr>
                <w:rFonts w:ascii="Times New Roman" w:hAnsi="Times New Roman" w:cs="Times New Roman"/>
                <w:color w:val="#000000"/>
                <w:sz w:val="24"/>
                <w:szCs w:val="24"/>
              </w:rPr>
              <w:t> 3. Государственная политика поддержки доходов. Регулирование социальной</w:t>
            </w:r>
          </w:p>
          <w:p>
            <w:pPr>
              <w:jc w:val="both"/>
              <w:spacing w:after="0" w:line="240" w:lineRule="auto"/>
              <w:rPr>
                <w:sz w:val="24"/>
                <w:szCs w:val="24"/>
              </w:rPr>
            </w:pPr>
            <w:r>
              <w:rPr>
                <w:rFonts w:ascii="Times New Roman" w:hAnsi="Times New Roman" w:cs="Times New Roman"/>
                <w:color w:val="#000000"/>
                <w:sz w:val="24"/>
                <w:szCs w:val="24"/>
              </w:rPr>
              <w:t> политики государства. Система социальной защиты. Контрактная теория справедливости.</w:t>
            </w:r>
          </w:p>
          <w:p>
            <w:pPr>
              <w:jc w:val="both"/>
              <w:spacing w:after="0" w:line="240" w:lineRule="auto"/>
              <w:rPr>
                <w:sz w:val="24"/>
                <w:szCs w:val="24"/>
              </w:rPr>
            </w:pPr>
            <w:r>
              <w:rPr>
                <w:rFonts w:ascii="Times New Roman" w:hAnsi="Times New Roman" w:cs="Times New Roman"/>
                <w:color w:val="#000000"/>
                <w:sz w:val="24"/>
                <w:szCs w:val="24"/>
              </w:rPr>
              <w:t> 4. Потери для общества в процессе перераспределения доходов. Дилемма эффективности и справедливости.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https://urait.ru/bcode/453024</w:t>
            </w:r>
            <w:r>
              <w:rPr/>
              <w:t xml:space="preserve"> </w:t>
            </w:r>
          </w:p>
        </w:tc>
      </w:tr>
      <w:tr>
        <w:trPr>
          <w:trHeight w:hRule="exact" w:val="2448.8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https://urait.ru/bcode/455037</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75.6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2023-2024_ФГОС3++2023_Бак-ОФО-ТД(ОиУЗД)(23)_plx_Государственное регулирование экономики</dc:title>
  <dc:creator>FastReport.NET</dc:creator>
</cp:coreProperties>
</file>